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eastAsia="黑体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4"/>
          <w:lang w:val="en-US" w:eastAsia="zh-CN"/>
        </w:rPr>
        <w:t>参加两项产品标准审查会</w:t>
      </w:r>
      <w:r>
        <w:rPr>
          <w:rFonts w:hint="eastAsia" w:ascii="Times New Roman" w:hAnsi="Times New Roman" w:eastAsia="宋体" w:cs="Times New Roman"/>
          <w:b/>
          <w:sz w:val="24"/>
        </w:rPr>
        <w:t>回执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1195"/>
        <w:gridCol w:w="1365"/>
        <w:gridCol w:w="1539"/>
        <w:gridCol w:w="3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 系 人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 话</w:t>
            </w:r>
          </w:p>
        </w:tc>
        <w:tc>
          <w:tcPr>
            <w:tcW w:w="31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参会人员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职务/职称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手  机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1" w:hRule="atLeast"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color w:val="000000"/>
                <w:szCs w:val="21"/>
              </w:rPr>
              <w:t>住房预订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无锡太湖皇冠假日酒店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500元/间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；</w:t>
            </w:r>
          </w:p>
          <w:p>
            <w:pPr>
              <w:spacing w:line="500" w:lineRule="exac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□大床房，  间；</w:t>
            </w:r>
          </w:p>
          <w:p>
            <w:pPr>
              <w:spacing w:line="500" w:lineRule="exac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□双床房，  间；</w:t>
            </w:r>
          </w:p>
          <w:p>
            <w:pPr>
              <w:spacing w:line="500" w:lineRule="exac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优享家臻选酒店公寓（300元/间）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：</w:t>
            </w:r>
          </w:p>
          <w:p>
            <w:pPr>
              <w:spacing w:line="50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大床房，  间；</w:t>
            </w:r>
          </w:p>
          <w:p>
            <w:pPr>
              <w:spacing w:line="500" w:lineRule="exac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□双床房，  间；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Cs w:val="21"/>
              </w:rPr>
              <w:t>自行安排。</w:t>
            </w:r>
          </w:p>
          <w:p>
            <w:pPr>
              <w:spacing w:line="500" w:lineRule="exact"/>
              <w:rPr>
                <w:b/>
                <w:szCs w:val="21"/>
                <w:u w:val="single"/>
              </w:rPr>
            </w:pPr>
            <w:r>
              <w:rPr>
                <w:color w:val="000000"/>
                <w:szCs w:val="21"/>
              </w:rPr>
              <w:t>预计到达时间：</w:t>
            </w:r>
            <w:r>
              <w:rPr>
                <w:rFonts w:hint="eastAsia"/>
                <w:color w:val="000000"/>
                <w:szCs w:val="21"/>
              </w:rPr>
              <w:t xml:space="preserve">                  离店时间：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是否参加耐火材料行业绿色低碳高质量发展论坛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是 如果参加请按照要求完成注册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否</w:t>
            </w:r>
          </w:p>
        </w:tc>
      </w:tr>
    </w:tbl>
    <w:p>
      <w:pPr>
        <w:spacing w:after="0" w:line="360" w:lineRule="auto"/>
        <w:ind w:right="-20" w:firstLine="480" w:firstLineChars="20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为妥善</w:t>
      </w:r>
      <w:r>
        <w:rPr>
          <w:rFonts w:ascii="Times New Roman" w:hAnsi="Times New Roman" w:cs="Times New Roman"/>
          <w:sz w:val="24"/>
          <w:szCs w:val="24"/>
          <w:lang w:eastAsia="zh-CN"/>
        </w:rPr>
        <w:t>安排会务，请各位委员、专家妥善安排会议行程，务必于</w:t>
      </w:r>
      <w:r>
        <w:rPr>
          <w:rFonts w:ascii="Times New Roman" w:hAnsi="Times New Roman" w:cs="Times New Roman"/>
          <w:spacing w:val="-43"/>
          <w:sz w:val="24"/>
          <w:szCs w:val="24"/>
          <w:lang w:eastAsia="zh-CN"/>
        </w:rPr>
        <w:t xml:space="preserve"> </w:t>
      </w:r>
      <w:r>
        <w:rPr>
          <w:rFonts w:hint="eastAsia" w:ascii="Times New Roman" w:hAnsi="Times New Roman" w:cs="Times New Roman"/>
          <w:spacing w:val="-43"/>
          <w:sz w:val="24"/>
          <w:szCs w:val="24"/>
          <w:lang w:val="en-US" w:eastAsia="zh-CN"/>
        </w:rPr>
        <w:t>3</w:t>
      </w:r>
      <w:r>
        <w:rPr>
          <w:rFonts w:ascii="Times New Roman" w:hAnsi="Times New Roman" w:cs="Times New Roman"/>
          <w:sz w:val="24"/>
          <w:szCs w:val="24"/>
          <w:lang w:eastAsia="zh-CN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23</w:t>
      </w:r>
      <w:r>
        <w:rPr>
          <w:rFonts w:ascii="Times New Roman" w:hAnsi="Times New Roman" w:cs="Times New Roman"/>
          <w:spacing w:val="-34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日前将赴会回执通过电子邮件</w:t>
      </w:r>
      <w:r>
        <w:rPr>
          <w:rFonts w:ascii="Times New Roman" w:cs="Times New Roman"/>
          <w:sz w:val="24"/>
          <w:lang w:eastAsia="zh-CN"/>
        </w:rPr>
        <w:t>发送到全国耐标委秘书处（</w:t>
      </w:r>
      <w:r>
        <w:fldChar w:fldCharType="begin"/>
      </w:r>
      <w:r>
        <w:instrText xml:space="preserve"> HYPERLINK "mailto:nbw@lirrc.com"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pacing w:val="10"/>
          <w:sz w:val="23"/>
          <w:szCs w:val="23"/>
          <w:u w:val="none"/>
          <w:lang w:eastAsia="zh-CN"/>
        </w:rPr>
        <w:t>nb</w:t>
      </w:r>
      <w:r>
        <w:rPr>
          <w:rStyle w:val="5"/>
          <w:rFonts w:ascii="Times New Roman" w:hAnsi="Times New Roman" w:cs="Times New Roman"/>
          <w:color w:val="auto"/>
          <w:spacing w:val="6"/>
          <w:sz w:val="23"/>
          <w:szCs w:val="23"/>
          <w:u w:val="none"/>
          <w:lang w:eastAsia="zh-CN"/>
        </w:rPr>
        <w:t>w</w:t>
      </w:r>
      <w:r>
        <w:rPr>
          <w:rStyle w:val="5"/>
          <w:rFonts w:ascii="Times New Roman" w:hAnsi="Times New Roman" w:cs="Times New Roman"/>
          <w:color w:val="auto"/>
          <w:spacing w:val="9"/>
          <w:sz w:val="23"/>
          <w:szCs w:val="23"/>
          <w:u w:val="none"/>
          <w:lang w:eastAsia="zh-CN"/>
        </w:rPr>
        <w:t>@</w:t>
      </w:r>
      <w:r>
        <w:rPr>
          <w:rStyle w:val="5"/>
          <w:rFonts w:ascii="Times New Roman" w:hAnsi="Times New Roman" w:cs="Times New Roman"/>
          <w:color w:val="auto"/>
          <w:spacing w:val="3"/>
          <w:sz w:val="23"/>
          <w:szCs w:val="23"/>
          <w:u w:val="none"/>
          <w:lang w:eastAsia="zh-CN"/>
        </w:rPr>
        <w:t>l</w:t>
      </w:r>
      <w:r>
        <w:rPr>
          <w:rStyle w:val="5"/>
          <w:rFonts w:ascii="Times New Roman" w:hAnsi="Times New Roman" w:cs="Times New Roman"/>
          <w:color w:val="auto"/>
          <w:spacing w:val="-6"/>
          <w:sz w:val="23"/>
          <w:szCs w:val="23"/>
          <w:u w:val="none"/>
          <w:lang w:eastAsia="zh-CN"/>
        </w:rPr>
        <w:t>i</w:t>
      </w:r>
      <w:r>
        <w:rPr>
          <w:rStyle w:val="5"/>
          <w:rFonts w:ascii="Times New Roman" w:hAnsi="Times New Roman" w:cs="Times New Roman"/>
          <w:color w:val="auto"/>
          <w:spacing w:val="10"/>
          <w:sz w:val="23"/>
          <w:szCs w:val="23"/>
          <w:u w:val="none"/>
          <w:lang w:eastAsia="zh-CN"/>
        </w:rPr>
        <w:t>r</w:t>
      </w:r>
      <w:r>
        <w:rPr>
          <w:rStyle w:val="5"/>
          <w:rFonts w:ascii="Times New Roman" w:hAnsi="Times New Roman" w:cs="Times New Roman"/>
          <w:color w:val="auto"/>
          <w:sz w:val="23"/>
          <w:szCs w:val="23"/>
          <w:u w:val="none"/>
          <w:lang w:eastAsia="zh-CN"/>
        </w:rPr>
        <w:t>r</w:t>
      </w:r>
      <w:r>
        <w:rPr>
          <w:rStyle w:val="5"/>
          <w:rFonts w:ascii="Times New Roman" w:hAnsi="Times New Roman" w:cs="Times New Roman"/>
          <w:color w:val="auto"/>
          <w:spacing w:val="4"/>
          <w:sz w:val="23"/>
          <w:szCs w:val="23"/>
          <w:u w:val="none"/>
          <w:lang w:eastAsia="zh-CN"/>
        </w:rPr>
        <w:t>c</w:t>
      </w:r>
      <w:r>
        <w:rPr>
          <w:rStyle w:val="5"/>
          <w:rFonts w:ascii="Times New Roman" w:hAnsi="Times New Roman" w:cs="Times New Roman"/>
          <w:color w:val="auto"/>
          <w:sz w:val="23"/>
          <w:szCs w:val="23"/>
          <w:u w:val="none"/>
          <w:lang w:eastAsia="zh-CN"/>
        </w:rPr>
        <w:t>.</w:t>
      </w:r>
      <w:r>
        <w:rPr>
          <w:rStyle w:val="5"/>
          <w:rFonts w:ascii="Times New Roman" w:hAnsi="Times New Roman" w:cs="Times New Roman"/>
          <w:color w:val="auto"/>
          <w:spacing w:val="4"/>
          <w:sz w:val="23"/>
          <w:szCs w:val="23"/>
          <w:u w:val="none"/>
          <w:lang w:eastAsia="zh-CN"/>
        </w:rPr>
        <w:t>c</w:t>
      </w:r>
      <w:r>
        <w:rPr>
          <w:rStyle w:val="5"/>
          <w:rFonts w:ascii="Times New Roman" w:hAnsi="Times New Roman" w:cs="Times New Roman"/>
          <w:color w:val="auto"/>
          <w:spacing w:val="10"/>
          <w:sz w:val="23"/>
          <w:szCs w:val="23"/>
          <w:u w:val="none"/>
          <w:lang w:eastAsia="zh-CN"/>
        </w:rPr>
        <w:t>o</w:t>
      </w:r>
      <w:r>
        <w:rPr>
          <w:rStyle w:val="5"/>
          <w:rFonts w:ascii="Times New Roman" w:hAnsi="Times New Roman" w:cs="Times New Roman"/>
          <w:color w:val="auto"/>
          <w:spacing w:val="13"/>
          <w:sz w:val="23"/>
          <w:szCs w:val="23"/>
          <w:u w:val="none"/>
          <w:lang w:eastAsia="zh-CN"/>
        </w:rPr>
        <w:t>m</w:t>
      </w:r>
      <w:r>
        <w:rPr>
          <w:rStyle w:val="5"/>
          <w:rFonts w:ascii="Times New Roman" w:hAnsi="Times New Roman" w:cs="Times New Roman"/>
          <w:color w:val="auto"/>
          <w:spacing w:val="13"/>
          <w:sz w:val="23"/>
          <w:szCs w:val="23"/>
          <w:u w:val="none"/>
          <w:lang w:eastAsia="zh-CN"/>
        </w:rPr>
        <w:fldChar w:fldCharType="end"/>
      </w:r>
      <w:r>
        <w:rPr>
          <w:rFonts w:ascii="Times New Roman" w:cs="Times New Roman"/>
          <w:lang w:eastAsia="zh-CN"/>
        </w:rPr>
        <w:t>）</w:t>
      </w:r>
      <w:r>
        <w:rPr>
          <w:rFonts w:ascii="Times New Roman" w:hAnsi="Times New Roman" w:cs="Times New Roman"/>
          <w:sz w:val="24"/>
          <w:szCs w:val="24"/>
          <w:lang w:eastAsia="zh-CN"/>
        </w:rPr>
        <w:t>，</w:t>
      </w:r>
      <w:r>
        <w:rPr>
          <w:rFonts w:ascii="Times New Roman" w:cs="Times New Roman" w:hAnsiTheme="minorEastAsia"/>
          <w:sz w:val="24"/>
          <w:szCs w:val="24"/>
          <w:lang w:eastAsia="zh-CN"/>
        </w:rPr>
        <w:t>如有问题请及时与会务组联系。回执表可从中国耐火材料网（www.nhcl.com.cn）下载。</w:t>
      </w:r>
      <w:bookmarkStart w:id="0" w:name="_GoBack"/>
      <w:bookmarkEnd w:id="0"/>
    </w:p>
    <w:p/>
    <w:sectPr>
      <w:pgSz w:w="11920" w:h="16840"/>
      <w:pgMar w:top="1440" w:right="851" w:bottom="1440" w:left="851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5162E"/>
    <w:rsid w:val="5045162E"/>
    <w:rsid w:val="6A16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styleId="5">
    <w:name w:val="Hyperlink"/>
    <w:basedOn w:val="4"/>
    <w:qFormat/>
    <w:uiPriority w:val="0"/>
    <w:rPr>
      <w:color w:val="00008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275</Characters>
  <Lines>0</Lines>
  <Paragraphs>0</Paragraphs>
  <TotalTime>3</TotalTime>
  <ScaleCrop>false</ScaleCrop>
  <LinksUpToDate>false</LinksUpToDate>
  <CharactersWithSpaces>310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2022-03-11T01:23:00Z</dcterms:created>
  <dc:creator>晓利</dc:creator>
  <cp:lastModifiedBy>晓利</cp:lastModifiedBy>
  <dcterms:modified xsi:type="dcterms:W3CDTF">2022-03-11T02:48:48Z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6D3F376DE84D48B48D78118885706085</vt:lpwstr>
  </property>
</Properties>
</file>