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Look w:val="04A0" w:firstRow="1" w:lastRow="0" w:firstColumn="1" w:lastColumn="0" w:noHBand="0" w:noVBand="1"/>
      </w:tblPr>
      <w:tblGrid>
        <w:gridCol w:w="366"/>
        <w:gridCol w:w="905"/>
        <w:gridCol w:w="1062"/>
        <w:gridCol w:w="1770"/>
        <w:gridCol w:w="1060"/>
        <w:gridCol w:w="929"/>
        <w:gridCol w:w="898"/>
        <w:gridCol w:w="1532"/>
      </w:tblGrid>
      <w:tr w:rsidR="00CD53E3" w:rsidRPr="00184B8D" w:rsidTr="002E4ED4">
        <w:trPr>
          <w:trHeight w:val="915"/>
        </w:trPr>
        <w:tc>
          <w:tcPr>
            <w:tcW w:w="7621" w:type="dxa"/>
            <w:gridSpan w:val="8"/>
            <w:hideMark/>
          </w:tcPr>
          <w:p w:rsidR="00CD53E3" w:rsidRPr="00184B8D" w:rsidRDefault="00CD53E3" w:rsidP="002E4ED4">
            <w:pPr>
              <w:widowControl/>
              <w:jc w:val="center"/>
              <w:rPr>
                <w:rFonts w:ascii="华文细黑" w:eastAsia="华文细黑" w:hAnsi="华文细黑" w:cs="宋体" w:hint="eastAsia"/>
                <w:color w:val="333333"/>
                <w:kern w:val="0"/>
                <w:sz w:val="15"/>
                <w:szCs w:val="15"/>
              </w:rPr>
            </w:pPr>
            <w:r w:rsidRPr="00184B8D">
              <w:rPr>
                <w:rFonts w:ascii="华文细黑" w:eastAsia="华文细黑" w:hAnsi="华文细黑" w:cs="宋体" w:hint="eastAsia"/>
                <w:color w:val="333333"/>
                <w:kern w:val="0"/>
                <w:sz w:val="15"/>
                <w:szCs w:val="15"/>
              </w:rPr>
              <w:t>济南市平阴山</w:t>
            </w:r>
            <w:proofErr w:type="gramStart"/>
            <w:r w:rsidRPr="00184B8D">
              <w:rPr>
                <w:rFonts w:ascii="华文细黑" w:eastAsia="华文细黑" w:hAnsi="华文细黑" w:cs="宋体" w:hint="eastAsia"/>
                <w:color w:val="333333"/>
                <w:kern w:val="0"/>
                <w:sz w:val="15"/>
                <w:szCs w:val="15"/>
              </w:rPr>
              <w:t>水</w:t>
            </w:r>
            <w:proofErr w:type="gramEnd"/>
            <w:r w:rsidRPr="00184B8D">
              <w:rPr>
                <w:rFonts w:ascii="华文细黑" w:eastAsia="华文细黑" w:hAnsi="华文细黑" w:cs="宋体" w:hint="eastAsia"/>
                <w:color w:val="333333"/>
                <w:kern w:val="0"/>
                <w:sz w:val="15"/>
                <w:szCs w:val="15"/>
              </w:rPr>
              <w:t>水泥有限公司5000t/d水泥熟料生产线</w:t>
            </w:r>
          </w:p>
          <w:p w:rsidR="00184B8D"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暨500t/d协同处理城市垃圾项目产能置换方案</w:t>
            </w:r>
          </w:p>
        </w:tc>
      </w:tr>
      <w:tr w:rsidR="00CD53E3" w:rsidRPr="00184B8D" w:rsidTr="002E4ED4">
        <w:trPr>
          <w:trHeight w:val="405"/>
        </w:trPr>
        <w:tc>
          <w:tcPr>
            <w:tcW w:w="7621" w:type="dxa"/>
            <w:gridSpan w:val="8"/>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退出项目情况</w:t>
            </w:r>
          </w:p>
        </w:tc>
      </w:tr>
      <w:tr w:rsidR="00CD53E3" w:rsidRPr="00184B8D" w:rsidTr="002E4ED4">
        <w:trPr>
          <w:trHeight w:val="540"/>
        </w:trPr>
        <w:tc>
          <w:tcPr>
            <w:tcW w:w="0" w:type="auto"/>
            <w:vMerge w:val="restart"/>
            <w:hideMark/>
          </w:tcPr>
          <w:p w:rsidR="00CD53E3" w:rsidRPr="00184B8D" w:rsidRDefault="00CD53E3" w:rsidP="002E4ED4">
            <w:pPr>
              <w:widowControl/>
              <w:jc w:val="center"/>
              <w:rPr>
                <w:rFonts w:ascii="华文细黑" w:eastAsia="华文细黑" w:hAnsi="华文细黑" w:cs="宋体" w:hint="eastAsia"/>
                <w:color w:val="333333"/>
                <w:kern w:val="0"/>
                <w:sz w:val="15"/>
                <w:szCs w:val="15"/>
              </w:rPr>
            </w:pPr>
            <w:r w:rsidRPr="00184B8D">
              <w:rPr>
                <w:rFonts w:ascii="华文细黑" w:eastAsia="华文细黑" w:hAnsi="华文细黑" w:cs="宋体" w:hint="eastAsia"/>
                <w:color w:val="333333"/>
                <w:kern w:val="0"/>
                <w:sz w:val="15"/>
                <w:szCs w:val="15"/>
              </w:rPr>
              <w:t>项</w:t>
            </w:r>
          </w:p>
          <w:p w:rsidR="00CD53E3" w:rsidRPr="00184B8D" w:rsidRDefault="00CD53E3" w:rsidP="002E4ED4">
            <w:pPr>
              <w:widowControl/>
              <w:spacing w:line="480" w:lineRule="atLeast"/>
              <w:jc w:val="center"/>
              <w:rPr>
                <w:rFonts w:ascii="华文细黑" w:eastAsia="华文细黑" w:hAnsi="华文细黑" w:cs="宋体" w:hint="eastAsia"/>
                <w:color w:val="333333"/>
                <w:kern w:val="0"/>
                <w:sz w:val="15"/>
                <w:szCs w:val="15"/>
              </w:rPr>
            </w:pPr>
            <w:r w:rsidRPr="00184B8D">
              <w:rPr>
                <w:rFonts w:ascii="华文细黑" w:eastAsia="华文细黑" w:hAnsi="华文细黑" w:cs="宋体" w:hint="eastAsia"/>
                <w:color w:val="333333"/>
                <w:kern w:val="0"/>
                <w:sz w:val="15"/>
                <w:szCs w:val="15"/>
              </w:rPr>
              <w:t>目</w:t>
            </w:r>
          </w:p>
          <w:p w:rsidR="00184B8D" w:rsidRPr="00184B8D" w:rsidRDefault="00CD53E3" w:rsidP="002E4ED4">
            <w:pPr>
              <w:widowControl/>
              <w:spacing w:line="480" w:lineRule="atLeast"/>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1</w:t>
            </w:r>
          </w:p>
        </w:tc>
        <w:tc>
          <w:tcPr>
            <w:tcW w:w="0" w:type="auto"/>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企业名称</w:t>
            </w:r>
          </w:p>
        </w:tc>
        <w:tc>
          <w:tcPr>
            <w:tcW w:w="0" w:type="auto"/>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项目地址</w:t>
            </w:r>
          </w:p>
        </w:tc>
        <w:tc>
          <w:tcPr>
            <w:tcW w:w="0" w:type="auto"/>
            <w:hideMark/>
          </w:tcPr>
          <w:p w:rsidR="00CD53E3" w:rsidRPr="00184B8D" w:rsidRDefault="00CD53E3" w:rsidP="002E4ED4">
            <w:pPr>
              <w:widowControl/>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统一社会信用代码</w:t>
            </w:r>
          </w:p>
        </w:tc>
        <w:tc>
          <w:tcPr>
            <w:tcW w:w="0" w:type="auto"/>
            <w:gridSpan w:val="3"/>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备案或核准文件</w:t>
            </w:r>
          </w:p>
        </w:tc>
        <w:tc>
          <w:tcPr>
            <w:tcW w:w="870" w:type="dxa"/>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生产许可证号(有效期)</w:t>
            </w:r>
          </w:p>
        </w:tc>
      </w:tr>
      <w:tr w:rsidR="00CD53E3" w:rsidRPr="00184B8D" w:rsidTr="002E4ED4">
        <w:trPr>
          <w:trHeight w:val="624"/>
        </w:trPr>
        <w:tc>
          <w:tcPr>
            <w:tcW w:w="0" w:type="auto"/>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c>
          <w:tcPr>
            <w:tcW w:w="0" w:type="auto"/>
            <w:vMerge w:val="restart"/>
            <w:hideMark/>
          </w:tcPr>
          <w:p w:rsidR="00CD53E3" w:rsidRPr="00184B8D" w:rsidRDefault="00CD53E3" w:rsidP="002E4ED4">
            <w:pPr>
              <w:widowControl/>
              <w:jc w:val="center"/>
              <w:rPr>
                <w:rFonts w:ascii="华文细黑" w:eastAsia="华文细黑" w:hAnsi="华文细黑" w:cs="宋体" w:hint="eastAsia"/>
                <w:color w:val="333333"/>
                <w:kern w:val="0"/>
                <w:sz w:val="15"/>
                <w:szCs w:val="15"/>
              </w:rPr>
            </w:pPr>
            <w:r w:rsidRPr="00184B8D">
              <w:rPr>
                <w:rFonts w:ascii="华文细黑" w:eastAsia="华文细黑" w:hAnsi="华文细黑" w:cs="宋体" w:hint="eastAsia"/>
                <w:color w:val="333333"/>
                <w:kern w:val="0"/>
                <w:sz w:val="15"/>
                <w:szCs w:val="15"/>
              </w:rPr>
              <w:t>山东水泥厂有限公司</w:t>
            </w:r>
          </w:p>
          <w:p w:rsidR="00184B8D" w:rsidRPr="00184B8D" w:rsidRDefault="00CD53E3" w:rsidP="002E4ED4">
            <w:pPr>
              <w:widowControl/>
              <w:spacing w:line="480" w:lineRule="atLeast"/>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（山水集团）</w:t>
            </w:r>
          </w:p>
        </w:tc>
        <w:tc>
          <w:tcPr>
            <w:tcW w:w="0" w:type="auto"/>
            <w:vMerge w:val="restart"/>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济南市市中区党家</w:t>
            </w:r>
            <w:proofErr w:type="gramStart"/>
            <w:r w:rsidRPr="00184B8D">
              <w:rPr>
                <w:rFonts w:ascii="华文细黑" w:eastAsia="华文细黑" w:hAnsi="华文细黑" w:cs="宋体" w:hint="eastAsia"/>
                <w:color w:val="333333"/>
                <w:kern w:val="0"/>
                <w:sz w:val="15"/>
                <w:szCs w:val="15"/>
              </w:rPr>
              <w:t>镇党东村东</w:t>
            </w:r>
            <w:proofErr w:type="gramEnd"/>
          </w:p>
        </w:tc>
        <w:tc>
          <w:tcPr>
            <w:tcW w:w="0" w:type="auto"/>
            <w:vMerge w:val="restart"/>
            <w:hideMark/>
          </w:tcPr>
          <w:p w:rsidR="00CD53E3" w:rsidRPr="00184B8D" w:rsidRDefault="00CD53E3" w:rsidP="002E4ED4">
            <w:pPr>
              <w:widowControl/>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91370100163156202A</w:t>
            </w:r>
          </w:p>
        </w:tc>
        <w:tc>
          <w:tcPr>
            <w:tcW w:w="0" w:type="auto"/>
            <w:gridSpan w:val="3"/>
            <w:vMerge w:val="restart"/>
            <w:hideMark/>
          </w:tcPr>
          <w:p w:rsidR="00CD53E3" w:rsidRPr="00184B8D" w:rsidRDefault="00CD53E3" w:rsidP="002E4ED4">
            <w:pPr>
              <w:widowControl/>
              <w:jc w:val="left"/>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山东省建筑材料工业局关于山东水泥厂Ø4×60m窑增产节能技术改造项目（山东水泥厂有限公司2#水泥熟料生产线）初步设计的批复（鲁建材基字【1996】271号）</w:t>
            </w:r>
          </w:p>
        </w:tc>
        <w:tc>
          <w:tcPr>
            <w:tcW w:w="870" w:type="dxa"/>
            <w:vMerge w:val="restart"/>
            <w:hideMark/>
          </w:tcPr>
          <w:p w:rsidR="00CD53E3" w:rsidRPr="00184B8D" w:rsidRDefault="00CD53E3" w:rsidP="002E4ED4">
            <w:pPr>
              <w:widowControl/>
              <w:jc w:val="left"/>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XK08-001-00187(有效期至：2023年4月11日)</w:t>
            </w:r>
          </w:p>
        </w:tc>
      </w:tr>
      <w:tr w:rsidR="00CD53E3" w:rsidRPr="00184B8D" w:rsidTr="002E4ED4">
        <w:trPr>
          <w:trHeight w:val="624"/>
        </w:trPr>
        <w:tc>
          <w:tcPr>
            <w:tcW w:w="0" w:type="auto"/>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c>
          <w:tcPr>
            <w:tcW w:w="0" w:type="auto"/>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c>
          <w:tcPr>
            <w:tcW w:w="0" w:type="auto"/>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c>
          <w:tcPr>
            <w:tcW w:w="0" w:type="auto"/>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c>
          <w:tcPr>
            <w:tcW w:w="0" w:type="auto"/>
            <w:gridSpan w:val="3"/>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c>
          <w:tcPr>
            <w:tcW w:w="870" w:type="dxa"/>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r>
      <w:tr w:rsidR="00CD53E3" w:rsidRPr="00184B8D" w:rsidTr="002E4ED4">
        <w:trPr>
          <w:trHeight w:val="780"/>
        </w:trPr>
        <w:tc>
          <w:tcPr>
            <w:tcW w:w="0" w:type="auto"/>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c>
          <w:tcPr>
            <w:tcW w:w="0" w:type="auto"/>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主体设备（生产线）名称、规格型号及数量</w:t>
            </w:r>
          </w:p>
        </w:tc>
        <w:tc>
          <w:tcPr>
            <w:tcW w:w="0" w:type="auto"/>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备案或核准文件设计产能 （t/d）</w:t>
            </w:r>
          </w:p>
        </w:tc>
        <w:tc>
          <w:tcPr>
            <w:tcW w:w="0" w:type="auto"/>
            <w:hideMark/>
          </w:tcPr>
          <w:p w:rsidR="00CD53E3" w:rsidRPr="00184B8D" w:rsidRDefault="00CD53E3" w:rsidP="002E4ED4">
            <w:pPr>
              <w:widowControl/>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实际产能（t/d）</w:t>
            </w:r>
          </w:p>
        </w:tc>
        <w:tc>
          <w:tcPr>
            <w:tcW w:w="0" w:type="auto"/>
            <w:gridSpan w:val="3"/>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核实产能（t/d）</w:t>
            </w:r>
          </w:p>
        </w:tc>
        <w:tc>
          <w:tcPr>
            <w:tcW w:w="870" w:type="dxa"/>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用于本项目置换产能（t/d）    </w:t>
            </w:r>
          </w:p>
        </w:tc>
      </w:tr>
      <w:tr w:rsidR="00CD53E3" w:rsidRPr="00184B8D" w:rsidTr="002E4ED4">
        <w:trPr>
          <w:trHeight w:val="675"/>
        </w:trPr>
        <w:tc>
          <w:tcPr>
            <w:tcW w:w="0" w:type="auto"/>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c>
          <w:tcPr>
            <w:tcW w:w="0" w:type="auto"/>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1×Ø4.0×60m回转窑</w:t>
            </w:r>
          </w:p>
        </w:tc>
        <w:tc>
          <w:tcPr>
            <w:tcW w:w="0" w:type="auto"/>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1700</w:t>
            </w:r>
          </w:p>
        </w:tc>
        <w:tc>
          <w:tcPr>
            <w:tcW w:w="0" w:type="auto"/>
            <w:hideMark/>
          </w:tcPr>
          <w:p w:rsidR="00CD53E3" w:rsidRPr="00184B8D" w:rsidRDefault="00CD53E3" w:rsidP="002E4ED4">
            <w:pPr>
              <w:widowControl/>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1700</w:t>
            </w:r>
          </w:p>
        </w:tc>
        <w:tc>
          <w:tcPr>
            <w:tcW w:w="0" w:type="auto"/>
            <w:gridSpan w:val="3"/>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1700</w:t>
            </w:r>
          </w:p>
        </w:tc>
        <w:tc>
          <w:tcPr>
            <w:tcW w:w="870" w:type="dxa"/>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1700</w:t>
            </w:r>
          </w:p>
        </w:tc>
      </w:tr>
      <w:tr w:rsidR="00CD53E3" w:rsidRPr="00184B8D" w:rsidTr="002E4ED4">
        <w:trPr>
          <w:trHeight w:val="525"/>
        </w:trPr>
        <w:tc>
          <w:tcPr>
            <w:tcW w:w="0" w:type="auto"/>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c>
          <w:tcPr>
            <w:tcW w:w="0" w:type="auto"/>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是否</w:t>
            </w:r>
            <w:proofErr w:type="gramStart"/>
            <w:r w:rsidRPr="00184B8D">
              <w:rPr>
                <w:rFonts w:ascii="华文细黑" w:eastAsia="华文细黑" w:hAnsi="华文细黑" w:cs="宋体" w:hint="eastAsia"/>
                <w:color w:val="333333"/>
                <w:kern w:val="0"/>
                <w:sz w:val="15"/>
                <w:szCs w:val="15"/>
              </w:rPr>
              <w:t>享受奖补资金</w:t>
            </w:r>
            <w:proofErr w:type="gramEnd"/>
            <w:r w:rsidRPr="00184B8D">
              <w:rPr>
                <w:rFonts w:ascii="华文细黑" w:eastAsia="华文细黑" w:hAnsi="华文细黑" w:cs="宋体" w:hint="eastAsia"/>
                <w:color w:val="333333"/>
                <w:kern w:val="0"/>
                <w:sz w:val="15"/>
                <w:szCs w:val="15"/>
              </w:rPr>
              <w:t>和政策支持</w:t>
            </w:r>
          </w:p>
        </w:tc>
        <w:tc>
          <w:tcPr>
            <w:tcW w:w="0" w:type="auto"/>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产能指标是否重复使用</w:t>
            </w:r>
          </w:p>
        </w:tc>
        <w:tc>
          <w:tcPr>
            <w:tcW w:w="0" w:type="auto"/>
            <w:gridSpan w:val="2"/>
            <w:hideMark/>
          </w:tcPr>
          <w:p w:rsidR="00CD53E3" w:rsidRDefault="00CD53E3" w:rsidP="002E4ED4">
            <w:pPr>
              <w:widowControl/>
              <w:rPr>
                <w:rFonts w:ascii="华文细黑" w:eastAsia="华文细黑" w:hAnsi="华文细黑" w:cs="宋体" w:hint="eastAsia"/>
                <w:color w:val="333333"/>
                <w:kern w:val="0"/>
                <w:sz w:val="15"/>
                <w:szCs w:val="15"/>
              </w:rPr>
            </w:pPr>
            <w:r w:rsidRPr="00184B8D">
              <w:rPr>
                <w:rFonts w:ascii="华文细黑" w:eastAsia="华文细黑" w:hAnsi="华文细黑" w:cs="宋体" w:hint="eastAsia"/>
                <w:color w:val="333333"/>
                <w:kern w:val="0"/>
                <w:sz w:val="15"/>
                <w:szCs w:val="15"/>
              </w:rPr>
              <w:t>关停时间</w:t>
            </w:r>
          </w:p>
          <w:p w:rsidR="00CD53E3" w:rsidRPr="00184B8D" w:rsidRDefault="00CD53E3" w:rsidP="002E4ED4">
            <w:pPr>
              <w:widowControl/>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（新线点火投产前）</w:t>
            </w:r>
          </w:p>
        </w:tc>
        <w:tc>
          <w:tcPr>
            <w:tcW w:w="2582" w:type="dxa"/>
            <w:gridSpan w:val="3"/>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拆除退出时间（建设项目投产一年内）</w:t>
            </w:r>
          </w:p>
        </w:tc>
      </w:tr>
      <w:tr w:rsidR="00CD53E3" w:rsidRPr="00184B8D" w:rsidTr="002E4ED4">
        <w:trPr>
          <w:trHeight w:val="525"/>
        </w:trPr>
        <w:tc>
          <w:tcPr>
            <w:tcW w:w="0" w:type="auto"/>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c>
          <w:tcPr>
            <w:tcW w:w="0" w:type="auto"/>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否</w:t>
            </w:r>
          </w:p>
        </w:tc>
        <w:tc>
          <w:tcPr>
            <w:tcW w:w="0" w:type="auto"/>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否</w:t>
            </w:r>
          </w:p>
        </w:tc>
        <w:tc>
          <w:tcPr>
            <w:tcW w:w="0" w:type="auto"/>
            <w:gridSpan w:val="2"/>
            <w:hideMark/>
          </w:tcPr>
          <w:p w:rsidR="00CD53E3" w:rsidRPr="00184B8D" w:rsidRDefault="00CD53E3" w:rsidP="002E4ED4">
            <w:pPr>
              <w:widowControl/>
              <w:jc w:val="left"/>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预计2021年年底，实际关停时间以平阴产能置换建设项目投产为准，在项目投产前关停。</w:t>
            </w:r>
          </w:p>
        </w:tc>
        <w:tc>
          <w:tcPr>
            <w:tcW w:w="2582" w:type="dxa"/>
            <w:gridSpan w:val="3"/>
            <w:hideMark/>
          </w:tcPr>
          <w:p w:rsidR="00CD53E3" w:rsidRPr="00184B8D" w:rsidRDefault="00CD53E3" w:rsidP="002E4ED4">
            <w:pPr>
              <w:widowControl/>
              <w:jc w:val="left"/>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预计2022年年底，实际拆除时间以平阴建设项目投产为准，项目投产后一年内拆除。</w:t>
            </w:r>
          </w:p>
        </w:tc>
      </w:tr>
      <w:tr w:rsidR="00CD53E3" w:rsidRPr="00184B8D" w:rsidTr="002E4ED4">
        <w:trPr>
          <w:trHeight w:val="525"/>
        </w:trPr>
        <w:tc>
          <w:tcPr>
            <w:tcW w:w="0" w:type="auto"/>
            <w:vMerge w:val="restart"/>
            <w:hideMark/>
          </w:tcPr>
          <w:p w:rsidR="00CD53E3" w:rsidRPr="00184B8D" w:rsidRDefault="00CD53E3" w:rsidP="002E4ED4">
            <w:pPr>
              <w:widowControl/>
              <w:jc w:val="center"/>
              <w:rPr>
                <w:rFonts w:ascii="华文细黑" w:eastAsia="华文细黑" w:hAnsi="华文细黑" w:cs="宋体" w:hint="eastAsia"/>
                <w:color w:val="333333"/>
                <w:kern w:val="0"/>
                <w:sz w:val="15"/>
                <w:szCs w:val="15"/>
              </w:rPr>
            </w:pPr>
            <w:r w:rsidRPr="00184B8D">
              <w:rPr>
                <w:rFonts w:ascii="华文细黑" w:eastAsia="华文细黑" w:hAnsi="华文细黑" w:cs="宋体" w:hint="eastAsia"/>
                <w:color w:val="333333"/>
                <w:kern w:val="0"/>
                <w:sz w:val="15"/>
                <w:szCs w:val="15"/>
              </w:rPr>
              <w:t>项</w:t>
            </w:r>
          </w:p>
          <w:p w:rsidR="00CD53E3" w:rsidRPr="00184B8D" w:rsidRDefault="00CD53E3" w:rsidP="002E4ED4">
            <w:pPr>
              <w:widowControl/>
              <w:spacing w:line="480" w:lineRule="atLeast"/>
              <w:jc w:val="center"/>
              <w:rPr>
                <w:rFonts w:ascii="华文细黑" w:eastAsia="华文细黑" w:hAnsi="华文细黑" w:cs="宋体" w:hint="eastAsia"/>
                <w:color w:val="333333"/>
                <w:kern w:val="0"/>
                <w:sz w:val="15"/>
                <w:szCs w:val="15"/>
              </w:rPr>
            </w:pPr>
            <w:r w:rsidRPr="00184B8D">
              <w:rPr>
                <w:rFonts w:ascii="华文细黑" w:eastAsia="华文细黑" w:hAnsi="华文细黑" w:cs="宋体" w:hint="eastAsia"/>
                <w:color w:val="333333"/>
                <w:kern w:val="0"/>
                <w:sz w:val="15"/>
                <w:szCs w:val="15"/>
              </w:rPr>
              <w:t>目</w:t>
            </w:r>
          </w:p>
          <w:p w:rsidR="00184B8D" w:rsidRPr="00184B8D" w:rsidRDefault="00CD53E3" w:rsidP="002E4ED4">
            <w:pPr>
              <w:widowControl/>
              <w:spacing w:line="480" w:lineRule="atLeast"/>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2</w:t>
            </w:r>
          </w:p>
        </w:tc>
        <w:tc>
          <w:tcPr>
            <w:tcW w:w="0" w:type="auto"/>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企业名称</w:t>
            </w:r>
          </w:p>
        </w:tc>
        <w:tc>
          <w:tcPr>
            <w:tcW w:w="0" w:type="auto"/>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项目地址</w:t>
            </w:r>
          </w:p>
        </w:tc>
        <w:tc>
          <w:tcPr>
            <w:tcW w:w="0" w:type="auto"/>
            <w:hideMark/>
          </w:tcPr>
          <w:p w:rsidR="00CD53E3" w:rsidRPr="00184B8D" w:rsidRDefault="00CD53E3" w:rsidP="002E4ED4">
            <w:pPr>
              <w:widowControl/>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统一社会信用代码</w:t>
            </w:r>
          </w:p>
        </w:tc>
        <w:tc>
          <w:tcPr>
            <w:tcW w:w="0" w:type="auto"/>
            <w:gridSpan w:val="3"/>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备案或核准文件</w:t>
            </w:r>
          </w:p>
        </w:tc>
        <w:tc>
          <w:tcPr>
            <w:tcW w:w="870" w:type="dxa"/>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生产许可证号(有效期)</w:t>
            </w:r>
          </w:p>
        </w:tc>
      </w:tr>
      <w:tr w:rsidR="00CD53E3" w:rsidRPr="00184B8D" w:rsidTr="002E4ED4">
        <w:trPr>
          <w:trHeight w:val="1425"/>
        </w:trPr>
        <w:tc>
          <w:tcPr>
            <w:tcW w:w="0" w:type="auto"/>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c>
          <w:tcPr>
            <w:tcW w:w="0" w:type="auto"/>
            <w:vMerge w:val="restart"/>
            <w:hideMark/>
          </w:tcPr>
          <w:p w:rsidR="00CD53E3" w:rsidRPr="00184B8D" w:rsidRDefault="00CD53E3" w:rsidP="002E4ED4">
            <w:pPr>
              <w:widowControl/>
              <w:jc w:val="center"/>
              <w:rPr>
                <w:rFonts w:ascii="华文细黑" w:eastAsia="华文细黑" w:hAnsi="华文细黑" w:cs="宋体" w:hint="eastAsia"/>
                <w:color w:val="333333"/>
                <w:kern w:val="0"/>
                <w:sz w:val="15"/>
                <w:szCs w:val="15"/>
              </w:rPr>
            </w:pPr>
            <w:r w:rsidRPr="00184B8D">
              <w:rPr>
                <w:rFonts w:ascii="华文细黑" w:eastAsia="华文细黑" w:hAnsi="华文细黑" w:cs="宋体" w:hint="eastAsia"/>
                <w:color w:val="333333"/>
                <w:kern w:val="0"/>
                <w:sz w:val="15"/>
                <w:szCs w:val="15"/>
              </w:rPr>
              <w:t>山东水泥厂有限公司</w:t>
            </w:r>
          </w:p>
          <w:p w:rsidR="00184B8D" w:rsidRPr="00184B8D" w:rsidRDefault="00CD53E3" w:rsidP="002E4ED4">
            <w:pPr>
              <w:widowControl/>
              <w:spacing w:line="480" w:lineRule="atLeast"/>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（山水集团）</w:t>
            </w:r>
          </w:p>
        </w:tc>
        <w:tc>
          <w:tcPr>
            <w:tcW w:w="0" w:type="auto"/>
            <w:vMerge w:val="restart"/>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济南市市中区党家</w:t>
            </w:r>
            <w:proofErr w:type="gramStart"/>
            <w:r w:rsidRPr="00184B8D">
              <w:rPr>
                <w:rFonts w:ascii="华文细黑" w:eastAsia="华文细黑" w:hAnsi="华文细黑" w:cs="宋体" w:hint="eastAsia"/>
                <w:color w:val="333333"/>
                <w:kern w:val="0"/>
                <w:sz w:val="15"/>
                <w:szCs w:val="15"/>
              </w:rPr>
              <w:t>镇党东村东</w:t>
            </w:r>
            <w:proofErr w:type="gramEnd"/>
          </w:p>
        </w:tc>
        <w:tc>
          <w:tcPr>
            <w:tcW w:w="0" w:type="auto"/>
            <w:vMerge w:val="restart"/>
            <w:hideMark/>
          </w:tcPr>
          <w:p w:rsidR="00CD53E3" w:rsidRPr="00184B8D" w:rsidRDefault="00CD53E3" w:rsidP="002E4ED4">
            <w:pPr>
              <w:widowControl/>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91370100163156202A</w:t>
            </w:r>
          </w:p>
        </w:tc>
        <w:tc>
          <w:tcPr>
            <w:tcW w:w="0" w:type="auto"/>
            <w:gridSpan w:val="3"/>
            <w:hideMark/>
          </w:tcPr>
          <w:p w:rsidR="00CD53E3" w:rsidRPr="00184B8D" w:rsidRDefault="00CD53E3" w:rsidP="002E4ED4">
            <w:pPr>
              <w:widowControl/>
              <w:jc w:val="left"/>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1、山东省经济贸易委员会关于济南建筑材料工业集团有限公司济南水泥厂、东方红水泥厂环保迁建日产2000吨熟料生产线技改项目（山东水泥厂有限公司3#水泥熟料生产线）可行性研究报告的批复（鲁经贸改字【2000】76号）</w:t>
            </w:r>
          </w:p>
        </w:tc>
        <w:tc>
          <w:tcPr>
            <w:tcW w:w="870" w:type="dxa"/>
            <w:vMerge w:val="restart"/>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XK08-001-00187(有效期至：2023年4月11日)</w:t>
            </w:r>
          </w:p>
        </w:tc>
      </w:tr>
      <w:tr w:rsidR="00CD53E3" w:rsidRPr="00184B8D" w:rsidTr="002E4ED4">
        <w:trPr>
          <w:trHeight w:val="1035"/>
        </w:trPr>
        <w:tc>
          <w:tcPr>
            <w:tcW w:w="0" w:type="auto"/>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c>
          <w:tcPr>
            <w:tcW w:w="0" w:type="auto"/>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c>
          <w:tcPr>
            <w:tcW w:w="0" w:type="auto"/>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c>
          <w:tcPr>
            <w:tcW w:w="0" w:type="auto"/>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c>
          <w:tcPr>
            <w:tcW w:w="0" w:type="auto"/>
            <w:gridSpan w:val="3"/>
            <w:hideMark/>
          </w:tcPr>
          <w:p w:rsidR="00CD53E3" w:rsidRPr="00184B8D" w:rsidRDefault="00CD53E3" w:rsidP="002E4ED4">
            <w:pPr>
              <w:widowControl/>
              <w:jc w:val="left"/>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2、国家经济贸易委员会关于同意济南建筑材料工业集团有限公司济南水泥厂、东方红水泥厂环保迁建日产2000吨熟料生产线技改项目变更建设单位及名称的函（投资【2001】325号）</w:t>
            </w:r>
          </w:p>
        </w:tc>
        <w:tc>
          <w:tcPr>
            <w:tcW w:w="870" w:type="dxa"/>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r>
      <w:tr w:rsidR="00CD53E3" w:rsidRPr="00184B8D" w:rsidTr="002E4ED4">
        <w:trPr>
          <w:trHeight w:val="1305"/>
        </w:trPr>
        <w:tc>
          <w:tcPr>
            <w:tcW w:w="0" w:type="auto"/>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c>
          <w:tcPr>
            <w:tcW w:w="0" w:type="auto"/>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主体设备（生产线）名称、规格型号及数量</w:t>
            </w:r>
          </w:p>
        </w:tc>
        <w:tc>
          <w:tcPr>
            <w:tcW w:w="0" w:type="auto"/>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备案或核准文件设计产能 （t/d）</w:t>
            </w:r>
          </w:p>
        </w:tc>
        <w:tc>
          <w:tcPr>
            <w:tcW w:w="0" w:type="auto"/>
            <w:hideMark/>
          </w:tcPr>
          <w:p w:rsidR="00CD53E3" w:rsidRPr="00184B8D" w:rsidRDefault="00CD53E3" w:rsidP="002E4ED4">
            <w:pPr>
              <w:widowControl/>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实际产能（t/d）</w:t>
            </w:r>
          </w:p>
        </w:tc>
        <w:tc>
          <w:tcPr>
            <w:tcW w:w="0" w:type="auto"/>
            <w:gridSpan w:val="3"/>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核实产能（t/d）</w:t>
            </w:r>
          </w:p>
        </w:tc>
        <w:tc>
          <w:tcPr>
            <w:tcW w:w="870" w:type="dxa"/>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用于本项目置换产能（t/d）    </w:t>
            </w:r>
          </w:p>
        </w:tc>
      </w:tr>
      <w:tr w:rsidR="00CD53E3" w:rsidRPr="00184B8D" w:rsidTr="002E4ED4">
        <w:trPr>
          <w:trHeight w:val="555"/>
        </w:trPr>
        <w:tc>
          <w:tcPr>
            <w:tcW w:w="0" w:type="auto"/>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c>
          <w:tcPr>
            <w:tcW w:w="0" w:type="auto"/>
            <w:hideMark/>
          </w:tcPr>
          <w:p w:rsidR="00CD53E3" w:rsidRPr="00184B8D" w:rsidRDefault="00CD53E3" w:rsidP="002E4ED4">
            <w:pPr>
              <w:widowControl/>
              <w:jc w:val="left"/>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1×Ø4.0×56m回转窑</w:t>
            </w:r>
          </w:p>
        </w:tc>
        <w:tc>
          <w:tcPr>
            <w:tcW w:w="0" w:type="auto"/>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2000</w:t>
            </w:r>
          </w:p>
        </w:tc>
        <w:tc>
          <w:tcPr>
            <w:tcW w:w="0" w:type="auto"/>
            <w:hideMark/>
          </w:tcPr>
          <w:p w:rsidR="00CD53E3" w:rsidRPr="00184B8D" w:rsidRDefault="00CD53E3" w:rsidP="002E4ED4">
            <w:pPr>
              <w:widowControl/>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2000</w:t>
            </w:r>
          </w:p>
        </w:tc>
        <w:tc>
          <w:tcPr>
            <w:tcW w:w="0" w:type="auto"/>
            <w:gridSpan w:val="3"/>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2000</w:t>
            </w:r>
          </w:p>
        </w:tc>
        <w:tc>
          <w:tcPr>
            <w:tcW w:w="870" w:type="dxa"/>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2000</w:t>
            </w:r>
          </w:p>
        </w:tc>
      </w:tr>
      <w:tr w:rsidR="00CD53E3" w:rsidRPr="00184B8D" w:rsidTr="002E4ED4">
        <w:trPr>
          <w:trHeight w:val="1050"/>
        </w:trPr>
        <w:tc>
          <w:tcPr>
            <w:tcW w:w="0" w:type="auto"/>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c>
          <w:tcPr>
            <w:tcW w:w="0" w:type="auto"/>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是否</w:t>
            </w:r>
            <w:proofErr w:type="gramStart"/>
            <w:r w:rsidRPr="00184B8D">
              <w:rPr>
                <w:rFonts w:ascii="华文细黑" w:eastAsia="华文细黑" w:hAnsi="华文细黑" w:cs="宋体" w:hint="eastAsia"/>
                <w:color w:val="333333"/>
                <w:kern w:val="0"/>
                <w:sz w:val="15"/>
                <w:szCs w:val="15"/>
              </w:rPr>
              <w:t>享受奖补资金</w:t>
            </w:r>
            <w:proofErr w:type="gramEnd"/>
            <w:r w:rsidRPr="00184B8D">
              <w:rPr>
                <w:rFonts w:ascii="华文细黑" w:eastAsia="华文细黑" w:hAnsi="华文细黑" w:cs="宋体" w:hint="eastAsia"/>
                <w:color w:val="333333"/>
                <w:kern w:val="0"/>
                <w:sz w:val="15"/>
                <w:szCs w:val="15"/>
              </w:rPr>
              <w:t>和政策支持</w:t>
            </w:r>
          </w:p>
        </w:tc>
        <w:tc>
          <w:tcPr>
            <w:tcW w:w="0" w:type="auto"/>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产能指标是否重复使用</w:t>
            </w:r>
          </w:p>
        </w:tc>
        <w:tc>
          <w:tcPr>
            <w:tcW w:w="0" w:type="auto"/>
            <w:gridSpan w:val="2"/>
            <w:hideMark/>
          </w:tcPr>
          <w:p w:rsidR="00CD53E3" w:rsidRDefault="00CD53E3" w:rsidP="002E4ED4">
            <w:pPr>
              <w:widowControl/>
              <w:rPr>
                <w:rFonts w:ascii="华文细黑" w:eastAsia="华文细黑" w:hAnsi="华文细黑" w:cs="宋体" w:hint="eastAsia"/>
                <w:color w:val="333333"/>
                <w:kern w:val="0"/>
                <w:sz w:val="15"/>
                <w:szCs w:val="15"/>
              </w:rPr>
            </w:pPr>
            <w:r w:rsidRPr="00184B8D">
              <w:rPr>
                <w:rFonts w:ascii="华文细黑" w:eastAsia="华文细黑" w:hAnsi="华文细黑" w:cs="宋体" w:hint="eastAsia"/>
                <w:color w:val="333333"/>
                <w:kern w:val="0"/>
                <w:sz w:val="15"/>
                <w:szCs w:val="15"/>
              </w:rPr>
              <w:t>关停时间</w:t>
            </w:r>
          </w:p>
          <w:p w:rsidR="00CD53E3" w:rsidRPr="00184B8D" w:rsidRDefault="00CD53E3" w:rsidP="002E4ED4">
            <w:pPr>
              <w:widowControl/>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（新线点火投产前）</w:t>
            </w:r>
          </w:p>
        </w:tc>
        <w:tc>
          <w:tcPr>
            <w:tcW w:w="2582" w:type="dxa"/>
            <w:gridSpan w:val="3"/>
            <w:hideMark/>
          </w:tcPr>
          <w:p w:rsidR="00CD53E3" w:rsidRDefault="00CD53E3" w:rsidP="002E4ED4">
            <w:pPr>
              <w:widowControl/>
              <w:rPr>
                <w:rFonts w:ascii="华文细黑" w:eastAsia="华文细黑" w:hAnsi="华文细黑" w:cs="宋体" w:hint="eastAsia"/>
                <w:color w:val="333333"/>
                <w:kern w:val="0"/>
                <w:sz w:val="15"/>
                <w:szCs w:val="15"/>
              </w:rPr>
            </w:pPr>
            <w:r w:rsidRPr="00184B8D">
              <w:rPr>
                <w:rFonts w:ascii="华文细黑" w:eastAsia="华文细黑" w:hAnsi="华文细黑" w:cs="宋体" w:hint="eastAsia"/>
                <w:color w:val="333333"/>
                <w:kern w:val="0"/>
                <w:sz w:val="15"/>
                <w:szCs w:val="15"/>
              </w:rPr>
              <w:t>拆除退出时间</w:t>
            </w:r>
          </w:p>
          <w:p w:rsidR="00CD53E3" w:rsidRPr="00184B8D" w:rsidRDefault="00CD53E3" w:rsidP="002E4ED4">
            <w:pPr>
              <w:widowControl/>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（建设项目投产一年内）</w:t>
            </w:r>
          </w:p>
        </w:tc>
      </w:tr>
      <w:tr w:rsidR="00CD53E3" w:rsidRPr="00184B8D" w:rsidTr="002E4ED4">
        <w:trPr>
          <w:trHeight w:val="660"/>
        </w:trPr>
        <w:tc>
          <w:tcPr>
            <w:tcW w:w="0" w:type="auto"/>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c>
          <w:tcPr>
            <w:tcW w:w="0" w:type="auto"/>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否</w:t>
            </w:r>
          </w:p>
        </w:tc>
        <w:tc>
          <w:tcPr>
            <w:tcW w:w="0" w:type="auto"/>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否</w:t>
            </w:r>
          </w:p>
        </w:tc>
        <w:tc>
          <w:tcPr>
            <w:tcW w:w="0" w:type="auto"/>
            <w:gridSpan w:val="2"/>
            <w:hideMark/>
          </w:tcPr>
          <w:p w:rsidR="00CD53E3" w:rsidRPr="00184B8D" w:rsidRDefault="00CD53E3" w:rsidP="002E4ED4">
            <w:pPr>
              <w:widowControl/>
              <w:jc w:val="left"/>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预计2021年年底，实际关停时间以平阴产能置换建设项目投产为准，在项目投产前关停。</w:t>
            </w:r>
          </w:p>
        </w:tc>
        <w:tc>
          <w:tcPr>
            <w:tcW w:w="2582" w:type="dxa"/>
            <w:gridSpan w:val="3"/>
            <w:hideMark/>
          </w:tcPr>
          <w:p w:rsidR="00CD53E3" w:rsidRPr="00184B8D" w:rsidRDefault="00CD53E3" w:rsidP="002E4ED4">
            <w:pPr>
              <w:widowControl/>
              <w:jc w:val="left"/>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预计2022年年底，实际拆除时间以平阴建设项目投产为准，项目投产后一年内拆除。</w:t>
            </w:r>
          </w:p>
        </w:tc>
      </w:tr>
      <w:tr w:rsidR="00CD53E3" w:rsidRPr="00184B8D" w:rsidTr="002E4ED4">
        <w:trPr>
          <w:trHeight w:val="540"/>
        </w:trPr>
        <w:tc>
          <w:tcPr>
            <w:tcW w:w="0" w:type="auto"/>
            <w:vMerge w:val="restart"/>
            <w:hideMark/>
          </w:tcPr>
          <w:p w:rsidR="00CD53E3" w:rsidRPr="00184B8D" w:rsidRDefault="00CD53E3" w:rsidP="002E4ED4">
            <w:pPr>
              <w:widowControl/>
              <w:jc w:val="center"/>
              <w:rPr>
                <w:rFonts w:ascii="华文细黑" w:eastAsia="华文细黑" w:hAnsi="华文细黑" w:cs="宋体" w:hint="eastAsia"/>
                <w:color w:val="333333"/>
                <w:kern w:val="0"/>
                <w:sz w:val="15"/>
                <w:szCs w:val="15"/>
              </w:rPr>
            </w:pPr>
            <w:r w:rsidRPr="00184B8D">
              <w:rPr>
                <w:rFonts w:ascii="华文细黑" w:eastAsia="华文细黑" w:hAnsi="华文细黑" w:cs="宋体" w:hint="eastAsia"/>
                <w:color w:val="333333"/>
                <w:kern w:val="0"/>
                <w:sz w:val="15"/>
                <w:szCs w:val="15"/>
              </w:rPr>
              <w:t>项</w:t>
            </w:r>
          </w:p>
          <w:p w:rsidR="00CD53E3" w:rsidRPr="00184B8D" w:rsidRDefault="00CD53E3" w:rsidP="002E4ED4">
            <w:pPr>
              <w:widowControl/>
              <w:spacing w:line="480" w:lineRule="atLeast"/>
              <w:jc w:val="center"/>
              <w:rPr>
                <w:rFonts w:ascii="华文细黑" w:eastAsia="华文细黑" w:hAnsi="华文细黑" w:cs="宋体" w:hint="eastAsia"/>
                <w:color w:val="333333"/>
                <w:kern w:val="0"/>
                <w:sz w:val="15"/>
                <w:szCs w:val="15"/>
              </w:rPr>
            </w:pPr>
            <w:r w:rsidRPr="00184B8D">
              <w:rPr>
                <w:rFonts w:ascii="华文细黑" w:eastAsia="华文细黑" w:hAnsi="华文细黑" w:cs="宋体" w:hint="eastAsia"/>
                <w:color w:val="333333"/>
                <w:kern w:val="0"/>
                <w:sz w:val="15"/>
                <w:szCs w:val="15"/>
              </w:rPr>
              <w:t>目</w:t>
            </w:r>
          </w:p>
          <w:p w:rsidR="00184B8D" w:rsidRPr="00184B8D" w:rsidRDefault="00CD53E3" w:rsidP="002E4ED4">
            <w:pPr>
              <w:widowControl/>
              <w:spacing w:line="480" w:lineRule="atLeast"/>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3</w:t>
            </w:r>
          </w:p>
        </w:tc>
        <w:tc>
          <w:tcPr>
            <w:tcW w:w="0" w:type="auto"/>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企业名称</w:t>
            </w:r>
          </w:p>
        </w:tc>
        <w:tc>
          <w:tcPr>
            <w:tcW w:w="0" w:type="auto"/>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项目地址</w:t>
            </w:r>
          </w:p>
        </w:tc>
        <w:tc>
          <w:tcPr>
            <w:tcW w:w="0" w:type="auto"/>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统一社会信用代码</w:t>
            </w:r>
          </w:p>
        </w:tc>
        <w:tc>
          <w:tcPr>
            <w:tcW w:w="0" w:type="auto"/>
            <w:gridSpan w:val="3"/>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备案或核准文件</w:t>
            </w:r>
          </w:p>
        </w:tc>
        <w:tc>
          <w:tcPr>
            <w:tcW w:w="870" w:type="dxa"/>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生产许可证号(有效期)</w:t>
            </w:r>
          </w:p>
        </w:tc>
      </w:tr>
      <w:tr w:rsidR="00CD53E3" w:rsidRPr="00184B8D" w:rsidTr="002E4ED4">
        <w:trPr>
          <w:trHeight w:val="780"/>
        </w:trPr>
        <w:tc>
          <w:tcPr>
            <w:tcW w:w="0" w:type="auto"/>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c>
          <w:tcPr>
            <w:tcW w:w="0" w:type="auto"/>
            <w:vMerge w:val="restart"/>
            <w:hideMark/>
          </w:tcPr>
          <w:p w:rsidR="00CD53E3" w:rsidRPr="00184B8D" w:rsidRDefault="00CD53E3" w:rsidP="002E4ED4">
            <w:pPr>
              <w:widowControl/>
              <w:jc w:val="left"/>
              <w:rPr>
                <w:rFonts w:ascii="华文细黑" w:eastAsia="华文细黑" w:hAnsi="华文细黑" w:cs="宋体" w:hint="eastAsia"/>
                <w:color w:val="333333"/>
                <w:kern w:val="0"/>
                <w:sz w:val="15"/>
                <w:szCs w:val="15"/>
              </w:rPr>
            </w:pPr>
            <w:r w:rsidRPr="00184B8D">
              <w:rPr>
                <w:rFonts w:ascii="华文细黑" w:eastAsia="华文细黑" w:hAnsi="华文细黑" w:cs="宋体" w:hint="eastAsia"/>
                <w:color w:val="333333"/>
                <w:kern w:val="0"/>
                <w:sz w:val="15"/>
                <w:szCs w:val="15"/>
              </w:rPr>
              <w:t>济南世纪创新水泥有限公司</w:t>
            </w:r>
          </w:p>
          <w:p w:rsidR="00184B8D" w:rsidRPr="00184B8D" w:rsidRDefault="00CD53E3" w:rsidP="002E4ED4">
            <w:pPr>
              <w:widowControl/>
              <w:spacing w:line="480" w:lineRule="atLeast"/>
              <w:jc w:val="left"/>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（山水集团）</w:t>
            </w:r>
          </w:p>
        </w:tc>
        <w:tc>
          <w:tcPr>
            <w:tcW w:w="0" w:type="auto"/>
            <w:vMerge w:val="restart"/>
            <w:hideMark/>
          </w:tcPr>
          <w:p w:rsidR="00CD53E3" w:rsidRPr="00184B8D" w:rsidRDefault="00CD53E3" w:rsidP="002E4ED4">
            <w:pPr>
              <w:widowControl/>
              <w:jc w:val="left"/>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济南市长清区</w:t>
            </w:r>
            <w:proofErr w:type="gramStart"/>
            <w:r w:rsidRPr="00184B8D">
              <w:rPr>
                <w:rFonts w:ascii="华文细黑" w:eastAsia="华文细黑" w:hAnsi="华文细黑" w:cs="宋体" w:hint="eastAsia"/>
                <w:color w:val="333333"/>
                <w:kern w:val="0"/>
                <w:sz w:val="15"/>
                <w:szCs w:val="15"/>
              </w:rPr>
              <w:t>崮云湖</w:t>
            </w:r>
            <w:proofErr w:type="gramEnd"/>
            <w:r w:rsidRPr="00184B8D">
              <w:rPr>
                <w:rFonts w:ascii="华文细黑" w:eastAsia="华文细黑" w:hAnsi="华文细黑" w:cs="宋体" w:hint="eastAsia"/>
                <w:color w:val="333333"/>
                <w:kern w:val="0"/>
                <w:sz w:val="15"/>
                <w:szCs w:val="15"/>
              </w:rPr>
              <w:t>街道办事处山水工业园</w:t>
            </w:r>
          </w:p>
        </w:tc>
        <w:tc>
          <w:tcPr>
            <w:tcW w:w="0" w:type="auto"/>
            <w:vMerge w:val="restart"/>
            <w:hideMark/>
          </w:tcPr>
          <w:p w:rsidR="00CD53E3" w:rsidRPr="00184B8D" w:rsidRDefault="00CD53E3" w:rsidP="002E4ED4">
            <w:pPr>
              <w:widowControl/>
              <w:jc w:val="left"/>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913701137357557705</w:t>
            </w:r>
          </w:p>
        </w:tc>
        <w:tc>
          <w:tcPr>
            <w:tcW w:w="0" w:type="auto"/>
            <w:gridSpan w:val="3"/>
            <w:vMerge w:val="restart"/>
            <w:hideMark/>
          </w:tcPr>
          <w:p w:rsidR="00CD53E3" w:rsidRPr="00184B8D" w:rsidRDefault="00CD53E3" w:rsidP="002E4ED4">
            <w:pPr>
              <w:widowControl/>
              <w:jc w:val="left"/>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山东省经济贸易委员会企业技术改造项目核准通知书（鲁</w:t>
            </w:r>
            <w:proofErr w:type="gramStart"/>
            <w:r w:rsidRPr="00184B8D">
              <w:rPr>
                <w:rFonts w:ascii="华文细黑" w:eastAsia="华文细黑" w:hAnsi="华文细黑" w:cs="宋体" w:hint="eastAsia"/>
                <w:color w:val="333333"/>
                <w:kern w:val="0"/>
                <w:sz w:val="15"/>
                <w:szCs w:val="15"/>
              </w:rPr>
              <w:t>经贸投核</w:t>
            </w:r>
            <w:proofErr w:type="gramEnd"/>
            <w:r w:rsidRPr="00184B8D">
              <w:rPr>
                <w:rFonts w:ascii="华文细黑" w:eastAsia="华文细黑" w:hAnsi="华文细黑" w:cs="宋体" w:hint="eastAsia"/>
                <w:color w:val="333333"/>
                <w:kern w:val="0"/>
                <w:sz w:val="15"/>
                <w:szCs w:val="15"/>
              </w:rPr>
              <w:t>[2005]8号文）</w:t>
            </w:r>
          </w:p>
        </w:tc>
        <w:tc>
          <w:tcPr>
            <w:tcW w:w="870" w:type="dxa"/>
            <w:vMerge w:val="restart"/>
            <w:hideMark/>
          </w:tcPr>
          <w:p w:rsidR="00CD53E3" w:rsidRPr="00184B8D" w:rsidRDefault="00CD53E3" w:rsidP="002E4ED4">
            <w:pPr>
              <w:widowControl/>
              <w:jc w:val="left"/>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XK08-001-06689(有效期至：2023年11月6日)</w:t>
            </w:r>
          </w:p>
        </w:tc>
      </w:tr>
      <w:tr w:rsidR="00CD53E3" w:rsidRPr="00184B8D" w:rsidTr="002E4ED4">
        <w:trPr>
          <w:trHeight w:val="780"/>
        </w:trPr>
        <w:tc>
          <w:tcPr>
            <w:tcW w:w="0" w:type="auto"/>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c>
          <w:tcPr>
            <w:tcW w:w="0" w:type="auto"/>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c>
          <w:tcPr>
            <w:tcW w:w="0" w:type="auto"/>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c>
          <w:tcPr>
            <w:tcW w:w="0" w:type="auto"/>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c>
          <w:tcPr>
            <w:tcW w:w="0" w:type="auto"/>
            <w:gridSpan w:val="3"/>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c>
          <w:tcPr>
            <w:tcW w:w="870" w:type="dxa"/>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r>
      <w:tr w:rsidR="00CD53E3" w:rsidRPr="00184B8D" w:rsidTr="002E4ED4">
        <w:trPr>
          <w:trHeight w:val="1305"/>
        </w:trPr>
        <w:tc>
          <w:tcPr>
            <w:tcW w:w="0" w:type="auto"/>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c>
          <w:tcPr>
            <w:tcW w:w="0" w:type="auto"/>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主体设备（生产线）名称、规格型号及数量</w:t>
            </w:r>
          </w:p>
        </w:tc>
        <w:tc>
          <w:tcPr>
            <w:tcW w:w="0" w:type="auto"/>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备案或核准文件设计产能 （t/d）</w:t>
            </w:r>
          </w:p>
        </w:tc>
        <w:tc>
          <w:tcPr>
            <w:tcW w:w="0" w:type="auto"/>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实际产能（t/d）</w:t>
            </w:r>
          </w:p>
        </w:tc>
        <w:tc>
          <w:tcPr>
            <w:tcW w:w="0" w:type="auto"/>
            <w:gridSpan w:val="3"/>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核实产能（t/d）</w:t>
            </w:r>
          </w:p>
        </w:tc>
        <w:tc>
          <w:tcPr>
            <w:tcW w:w="870" w:type="dxa"/>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用于本项目置换产能（t/d）    </w:t>
            </w:r>
          </w:p>
        </w:tc>
      </w:tr>
      <w:tr w:rsidR="00CD53E3" w:rsidRPr="00184B8D" w:rsidTr="002E4ED4">
        <w:trPr>
          <w:trHeight w:val="555"/>
        </w:trPr>
        <w:tc>
          <w:tcPr>
            <w:tcW w:w="0" w:type="auto"/>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c>
          <w:tcPr>
            <w:tcW w:w="0" w:type="auto"/>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1×Ø4.0×56m回转窑</w:t>
            </w:r>
          </w:p>
        </w:tc>
        <w:tc>
          <w:tcPr>
            <w:tcW w:w="0" w:type="auto"/>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2000</w:t>
            </w:r>
          </w:p>
        </w:tc>
        <w:tc>
          <w:tcPr>
            <w:tcW w:w="0" w:type="auto"/>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2000</w:t>
            </w:r>
          </w:p>
        </w:tc>
        <w:tc>
          <w:tcPr>
            <w:tcW w:w="0" w:type="auto"/>
            <w:gridSpan w:val="3"/>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2000</w:t>
            </w:r>
          </w:p>
        </w:tc>
        <w:tc>
          <w:tcPr>
            <w:tcW w:w="870" w:type="dxa"/>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2000</w:t>
            </w:r>
          </w:p>
        </w:tc>
      </w:tr>
      <w:tr w:rsidR="00CD53E3" w:rsidRPr="00184B8D" w:rsidTr="002E4ED4">
        <w:trPr>
          <w:trHeight w:val="1050"/>
        </w:trPr>
        <w:tc>
          <w:tcPr>
            <w:tcW w:w="0" w:type="auto"/>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c>
          <w:tcPr>
            <w:tcW w:w="0" w:type="auto"/>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是否</w:t>
            </w:r>
            <w:proofErr w:type="gramStart"/>
            <w:r w:rsidRPr="00184B8D">
              <w:rPr>
                <w:rFonts w:ascii="华文细黑" w:eastAsia="华文细黑" w:hAnsi="华文细黑" w:cs="宋体" w:hint="eastAsia"/>
                <w:color w:val="333333"/>
                <w:kern w:val="0"/>
                <w:sz w:val="15"/>
                <w:szCs w:val="15"/>
              </w:rPr>
              <w:t>享受奖补资金</w:t>
            </w:r>
            <w:proofErr w:type="gramEnd"/>
            <w:r w:rsidRPr="00184B8D">
              <w:rPr>
                <w:rFonts w:ascii="华文细黑" w:eastAsia="华文细黑" w:hAnsi="华文细黑" w:cs="宋体" w:hint="eastAsia"/>
                <w:color w:val="333333"/>
                <w:kern w:val="0"/>
                <w:sz w:val="15"/>
                <w:szCs w:val="15"/>
              </w:rPr>
              <w:t>和政策支持</w:t>
            </w:r>
          </w:p>
        </w:tc>
        <w:tc>
          <w:tcPr>
            <w:tcW w:w="0" w:type="auto"/>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产能指标是否重复使用</w:t>
            </w:r>
          </w:p>
        </w:tc>
        <w:tc>
          <w:tcPr>
            <w:tcW w:w="0" w:type="auto"/>
            <w:gridSpan w:val="2"/>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关停时间（新线点火投产前）</w:t>
            </w:r>
          </w:p>
        </w:tc>
        <w:tc>
          <w:tcPr>
            <w:tcW w:w="2582" w:type="dxa"/>
            <w:gridSpan w:val="3"/>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拆除退出时间（建设项目投产一年内）</w:t>
            </w:r>
          </w:p>
        </w:tc>
      </w:tr>
      <w:tr w:rsidR="00CD53E3" w:rsidRPr="00184B8D" w:rsidTr="002E4ED4">
        <w:trPr>
          <w:trHeight w:val="525"/>
        </w:trPr>
        <w:tc>
          <w:tcPr>
            <w:tcW w:w="0" w:type="auto"/>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c>
          <w:tcPr>
            <w:tcW w:w="0" w:type="auto"/>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否</w:t>
            </w:r>
          </w:p>
        </w:tc>
        <w:tc>
          <w:tcPr>
            <w:tcW w:w="0" w:type="auto"/>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否</w:t>
            </w:r>
          </w:p>
        </w:tc>
        <w:tc>
          <w:tcPr>
            <w:tcW w:w="0" w:type="auto"/>
            <w:gridSpan w:val="2"/>
            <w:hideMark/>
          </w:tcPr>
          <w:p w:rsidR="00CD53E3" w:rsidRPr="00184B8D" w:rsidRDefault="00CD53E3" w:rsidP="002E4ED4">
            <w:pPr>
              <w:widowControl/>
              <w:jc w:val="left"/>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预计2021年年底，实际关停时间以平阴产能置换建设项目投产为准，在项目投产前关停。</w:t>
            </w:r>
          </w:p>
        </w:tc>
        <w:tc>
          <w:tcPr>
            <w:tcW w:w="2582" w:type="dxa"/>
            <w:gridSpan w:val="3"/>
            <w:hideMark/>
          </w:tcPr>
          <w:p w:rsidR="00CD53E3" w:rsidRPr="00184B8D" w:rsidRDefault="00CD53E3" w:rsidP="002E4ED4">
            <w:pPr>
              <w:widowControl/>
              <w:jc w:val="left"/>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预计2022年年底，实际拆除时间以平阴产能置换建设项目投产为准，项目投产后一年内拆除。</w:t>
            </w:r>
          </w:p>
        </w:tc>
      </w:tr>
      <w:tr w:rsidR="00CD53E3" w:rsidRPr="00184B8D" w:rsidTr="002E4ED4">
        <w:trPr>
          <w:trHeight w:val="405"/>
        </w:trPr>
        <w:tc>
          <w:tcPr>
            <w:tcW w:w="7621" w:type="dxa"/>
            <w:gridSpan w:val="8"/>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建设项目情况 </w:t>
            </w:r>
          </w:p>
        </w:tc>
      </w:tr>
      <w:tr w:rsidR="00CD53E3" w:rsidRPr="00184B8D" w:rsidTr="002E4ED4">
        <w:trPr>
          <w:trHeight w:val="315"/>
        </w:trPr>
        <w:tc>
          <w:tcPr>
            <w:tcW w:w="0" w:type="auto"/>
            <w:gridSpan w:val="2"/>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企业名称</w:t>
            </w:r>
          </w:p>
        </w:tc>
        <w:tc>
          <w:tcPr>
            <w:tcW w:w="0" w:type="auto"/>
            <w:gridSpan w:val="4"/>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项目名称</w:t>
            </w:r>
          </w:p>
        </w:tc>
        <w:tc>
          <w:tcPr>
            <w:tcW w:w="1710" w:type="dxa"/>
            <w:gridSpan w:val="2"/>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建设地点</w:t>
            </w:r>
          </w:p>
        </w:tc>
      </w:tr>
      <w:tr w:rsidR="00CD53E3" w:rsidRPr="00184B8D" w:rsidTr="002E4ED4">
        <w:trPr>
          <w:trHeight w:val="624"/>
        </w:trPr>
        <w:tc>
          <w:tcPr>
            <w:tcW w:w="0" w:type="auto"/>
            <w:gridSpan w:val="2"/>
            <w:vMerge w:val="restart"/>
            <w:hideMark/>
          </w:tcPr>
          <w:p w:rsidR="00CD53E3" w:rsidRPr="00184B8D" w:rsidRDefault="00CD53E3" w:rsidP="002E4ED4">
            <w:pPr>
              <w:widowControl/>
              <w:jc w:val="center"/>
              <w:rPr>
                <w:rFonts w:ascii="华文细黑" w:eastAsia="华文细黑" w:hAnsi="华文细黑" w:cs="宋体" w:hint="eastAsia"/>
                <w:color w:val="333333"/>
                <w:kern w:val="0"/>
                <w:sz w:val="15"/>
                <w:szCs w:val="15"/>
              </w:rPr>
            </w:pPr>
            <w:r w:rsidRPr="00184B8D">
              <w:rPr>
                <w:rFonts w:ascii="华文细黑" w:eastAsia="华文细黑" w:hAnsi="华文细黑" w:cs="宋体" w:hint="eastAsia"/>
                <w:color w:val="333333"/>
                <w:kern w:val="0"/>
                <w:sz w:val="15"/>
                <w:szCs w:val="15"/>
              </w:rPr>
              <w:t>平阴山</w:t>
            </w:r>
            <w:proofErr w:type="gramStart"/>
            <w:r w:rsidRPr="00184B8D">
              <w:rPr>
                <w:rFonts w:ascii="华文细黑" w:eastAsia="华文细黑" w:hAnsi="华文细黑" w:cs="宋体" w:hint="eastAsia"/>
                <w:color w:val="333333"/>
                <w:kern w:val="0"/>
                <w:sz w:val="15"/>
                <w:szCs w:val="15"/>
              </w:rPr>
              <w:t>水</w:t>
            </w:r>
            <w:proofErr w:type="gramEnd"/>
            <w:r w:rsidRPr="00184B8D">
              <w:rPr>
                <w:rFonts w:ascii="华文细黑" w:eastAsia="华文细黑" w:hAnsi="华文细黑" w:cs="宋体" w:hint="eastAsia"/>
                <w:color w:val="333333"/>
                <w:kern w:val="0"/>
                <w:sz w:val="15"/>
                <w:szCs w:val="15"/>
              </w:rPr>
              <w:t>水泥有限公司 </w:t>
            </w:r>
          </w:p>
          <w:p w:rsidR="00184B8D" w:rsidRPr="00184B8D" w:rsidRDefault="00CD53E3" w:rsidP="002E4ED4">
            <w:pPr>
              <w:widowControl/>
              <w:spacing w:line="480" w:lineRule="atLeast"/>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lastRenderedPageBreak/>
              <w:t>（山水集团）</w:t>
            </w:r>
          </w:p>
        </w:tc>
        <w:tc>
          <w:tcPr>
            <w:tcW w:w="0" w:type="auto"/>
            <w:gridSpan w:val="4"/>
            <w:vMerge w:val="restart"/>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lastRenderedPageBreak/>
              <w:t>5000t/d水泥熟料生产线暨</w:t>
            </w:r>
          </w:p>
          <w:p w:rsidR="00184B8D" w:rsidRPr="00184B8D" w:rsidRDefault="00CD53E3" w:rsidP="002E4ED4">
            <w:pPr>
              <w:widowControl/>
              <w:spacing w:line="480" w:lineRule="atLeast"/>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lastRenderedPageBreak/>
              <w:t>500t/d协同处理城市垃圾工程</w:t>
            </w:r>
          </w:p>
        </w:tc>
        <w:tc>
          <w:tcPr>
            <w:tcW w:w="1710" w:type="dxa"/>
            <w:gridSpan w:val="2"/>
            <w:vMerge w:val="restart"/>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lastRenderedPageBreak/>
              <w:t>山东省平阴县安城镇平阴山</w:t>
            </w:r>
            <w:proofErr w:type="gramStart"/>
            <w:r w:rsidRPr="00184B8D">
              <w:rPr>
                <w:rFonts w:ascii="华文细黑" w:eastAsia="华文细黑" w:hAnsi="华文细黑" w:cs="宋体" w:hint="eastAsia"/>
                <w:color w:val="333333"/>
                <w:kern w:val="0"/>
                <w:sz w:val="15"/>
                <w:szCs w:val="15"/>
              </w:rPr>
              <w:t>水</w:t>
            </w:r>
            <w:proofErr w:type="gramEnd"/>
            <w:r w:rsidRPr="00184B8D">
              <w:rPr>
                <w:rFonts w:ascii="华文细黑" w:eastAsia="华文细黑" w:hAnsi="华文细黑" w:cs="宋体" w:hint="eastAsia"/>
                <w:color w:val="333333"/>
                <w:kern w:val="0"/>
                <w:sz w:val="15"/>
                <w:szCs w:val="15"/>
              </w:rPr>
              <w:t>水泥有限公司厂区东侧</w:t>
            </w:r>
          </w:p>
        </w:tc>
      </w:tr>
      <w:tr w:rsidR="00CD53E3" w:rsidRPr="00184B8D" w:rsidTr="002E4ED4">
        <w:trPr>
          <w:trHeight w:val="624"/>
        </w:trPr>
        <w:tc>
          <w:tcPr>
            <w:tcW w:w="0" w:type="auto"/>
            <w:gridSpan w:val="2"/>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c>
          <w:tcPr>
            <w:tcW w:w="0" w:type="auto"/>
            <w:gridSpan w:val="4"/>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c>
          <w:tcPr>
            <w:tcW w:w="1710" w:type="dxa"/>
            <w:gridSpan w:val="2"/>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r>
      <w:tr w:rsidR="00CD53E3" w:rsidRPr="00184B8D" w:rsidTr="002E4ED4">
        <w:trPr>
          <w:trHeight w:val="540"/>
        </w:trPr>
        <w:tc>
          <w:tcPr>
            <w:tcW w:w="0" w:type="auto"/>
            <w:gridSpan w:val="2"/>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lastRenderedPageBreak/>
              <w:t>拟建主体设备（生产线）名称、规格型号及数量</w:t>
            </w:r>
          </w:p>
        </w:tc>
        <w:tc>
          <w:tcPr>
            <w:tcW w:w="0" w:type="auto"/>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设计产能 （t/d）</w:t>
            </w:r>
          </w:p>
        </w:tc>
        <w:tc>
          <w:tcPr>
            <w:tcW w:w="0" w:type="auto"/>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置换指标产能（t/d）</w:t>
            </w:r>
          </w:p>
        </w:tc>
        <w:tc>
          <w:tcPr>
            <w:tcW w:w="0" w:type="auto"/>
            <w:gridSpan w:val="2"/>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计划点火投产时间</w:t>
            </w:r>
          </w:p>
        </w:tc>
        <w:tc>
          <w:tcPr>
            <w:tcW w:w="1710" w:type="dxa"/>
            <w:gridSpan w:val="2"/>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置换比例</w:t>
            </w:r>
          </w:p>
        </w:tc>
      </w:tr>
      <w:tr w:rsidR="00CD53E3" w:rsidRPr="00184B8D" w:rsidTr="002E4ED4">
        <w:trPr>
          <w:trHeight w:val="315"/>
        </w:trPr>
        <w:tc>
          <w:tcPr>
            <w:tcW w:w="0" w:type="auto"/>
            <w:gridSpan w:val="2"/>
            <w:vMerge w:val="restart"/>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1×Ø4.8×74m回转窑</w:t>
            </w:r>
          </w:p>
        </w:tc>
        <w:tc>
          <w:tcPr>
            <w:tcW w:w="0" w:type="auto"/>
            <w:vMerge w:val="restart"/>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5000</w:t>
            </w:r>
          </w:p>
        </w:tc>
        <w:tc>
          <w:tcPr>
            <w:tcW w:w="0" w:type="auto"/>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1700</w:t>
            </w:r>
          </w:p>
        </w:tc>
        <w:tc>
          <w:tcPr>
            <w:tcW w:w="0" w:type="auto"/>
            <w:gridSpan w:val="2"/>
            <w:vMerge w:val="restart"/>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2021年年底</w:t>
            </w:r>
          </w:p>
        </w:tc>
        <w:tc>
          <w:tcPr>
            <w:tcW w:w="1710" w:type="dxa"/>
            <w:gridSpan w:val="2"/>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1:1</w:t>
            </w:r>
          </w:p>
        </w:tc>
      </w:tr>
      <w:tr w:rsidR="00CD53E3" w:rsidRPr="00184B8D" w:rsidTr="002E4ED4">
        <w:trPr>
          <w:trHeight w:val="315"/>
        </w:trPr>
        <w:tc>
          <w:tcPr>
            <w:tcW w:w="0" w:type="auto"/>
            <w:gridSpan w:val="2"/>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c>
          <w:tcPr>
            <w:tcW w:w="0" w:type="auto"/>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c>
          <w:tcPr>
            <w:tcW w:w="0" w:type="auto"/>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2000</w:t>
            </w:r>
          </w:p>
        </w:tc>
        <w:tc>
          <w:tcPr>
            <w:tcW w:w="0" w:type="auto"/>
            <w:gridSpan w:val="2"/>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c>
          <w:tcPr>
            <w:tcW w:w="1710" w:type="dxa"/>
            <w:gridSpan w:val="2"/>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1:1</w:t>
            </w:r>
          </w:p>
        </w:tc>
      </w:tr>
      <w:tr w:rsidR="00CD53E3" w:rsidRPr="00184B8D" w:rsidTr="002E4ED4">
        <w:trPr>
          <w:trHeight w:val="315"/>
        </w:trPr>
        <w:tc>
          <w:tcPr>
            <w:tcW w:w="0" w:type="auto"/>
            <w:gridSpan w:val="2"/>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c>
          <w:tcPr>
            <w:tcW w:w="0" w:type="auto"/>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c>
          <w:tcPr>
            <w:tcW w:w="0" w:type="auto"/>
            <w:hideMark/>
          </w:tcPr>
          <w:p w:rsidR="00CD53E3" w:rsidRPr="00184B8D" w:rsidRDefault="00CD53E3" w:rsidP="002E4ED4">
            <w:pPr>
              <w:widowControl/>
              <w:jc w:val="center"/>
              <w:rPr>
                <w:rFonts w:ascii="华文细黑" w:eastAsia="华文细黑" w:hAnsi="华文细黑" w:cs="宋体"/>
                <w:color w:val="333333"/>
                <w:kern w:val="0"/>
                <w:sz w:val="15"/>
                <w:szCs w:val="15"/>
              </w:rPr>
            </w:pPr>
            <w:r w:rsidRPr="00184B8D">
              <w:rPr>
                <w:rFonts w:ascii="华文细黑" w:eastAsia="华文细黑" w:hAnsi="华文细黑" w:cs="宋体" w:hint="eastAsia"/>
                <w:color w:val="333333"/>
                <w:kern w:val="0"/>
                <w:sz w:val="15"/>
                <w:szCs w:val="15"/>
              </w:rPr>
              <w:t>2000</w:t>
            </w:r>
          </w:p>
        </w:tc>
        <w:tc>
          <w:tcPr>
            <w:tcW w:w="0" w:type="auto"/>
            <w:gridSpan w:val="2"/>
            <w:vMerge/>
            <w:hideMark/>
          </w:tcPr>
          <w:p w:rsidR="00CD53E3" w:rsidRPr="00184B8D" w:rsidRDefault="00CD53E3" w:rsidP="002E4ED4">
            <w:pPr>
              <w:widowControl/>
              <w:jc w:val="left"/>
              <w:rPr>
                <w:rFonts w:ascii="华文细黑" w:eastAsia="华文细黑" w:hAnsi="华文细黑" w:cs="宋体"/>
                <w:color w:val="333333"/>
                <w:kern w:val="0"/>
                <w:sz w:val="15"/>
                <w:szCs w:val="15"/>
              </w:rPr>
            </w:pPr>
          </w:p>
        </w:tc>
        <w:tc>
          <w:tcPr>
            <w:tcW w:w="1710" w:type="dxa"/>
            <w:gridSpan w:val="2"/>
            <w:hideMark/>
          </w:tcPr>
          <w:p w:rsidR="00CD53E3" w:rsidRPr="00184B8D" w:rsidRDefault="00CD53E3" w:rsidP="002E4ED4">
            <w:pPr>
              <w:widowControl/>
              <w:jc w:val="left"/>
              <w:rPr>
                <w:rFonts w:ascii="Times New Roman" w:eastAsia="Times New Roman" w:hAnsi="Times New Roman" w:cs="Times New Roman"/>
                <w:kern w:val="0"/>
                <w:sz w:val="15"/>
                <w:szCs w:val="15"/>
              </w:rPr>
            </w:pPr>
            <w:r>
              <w:rPr>
                <w:rFonts w:ascii="华文细黑" w:eastAsia="华文细黑" w:hAnsi="华文细黑" w:hint="eastAsia"/>
                <w:color w:val="333333"/>
                <w:sz w:val="18"/>
                <w:szCs w:val="18"/>
              </w:rPr>
              <w:t>1.5:1</w:t>
            </w:r>
          </w:p>
        </w:tc>
      </w:tr>
    </w:tbl>
    <w:p w:rsidR="009A660D" w:rsidRDefault="009A660D">
      <w:bookmarkStart w:id="0" w:name="_GoBack"/>
      <w:bookmarkEnd w:id="0"/>
    </w:p>
    <w:sectPr w:rsidR="009A66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6BC" w:rsidRDefault="004806BC" w:rsidP="00CD53E3">
      <w:r>
        <w:separator/>
      </w:r>
    </w:p>
  </w:endnote>
  <w:endnote w:type="continuationSeparator" w:id="0">
    <w:p w:rsidR="004806BC" w:rsidRDefault="004806BC" w:rsidP="00CD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6BC" w:rsidRDefault="004806BC" w:rsidP="00CD53E3">
      <w:r>
        <w:separator/>
      </w:r>
    </w:p>
  </w:footnote>
  <w:footnote w:type="continuationSeparator" w:id="0">
    <w:p w:rsidR="004806BC" w:rsidRDefault="004806BC" w:rsidP="00CD5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D2"/>
    <w:rsid w:val="004806BC"/>
    <w:rsid w:val="009A660D"/>
    <w:rsid w:val="00C44FD2"/>
    <w:rsid w:val="00CD5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53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53E3"/>
    <w:rPr>
      <w:sz w:val="18"/>
      <w:szCs w:val="18"/>
    </w:rPr>
  </w:style>
  <w:style w:type="paragraph" w:styleId="a4">
    <w:name w:val="footer"/>
    <w:basedOn w:val="a"/>
    <w:link w:val="Char0"/>
    <w:uiPriority w:val="99"/>
    <w:unhideWhenUsed/>
    <w:rsid w:val="00CD53E3"/>
    <w:pPr>
      <w:tabs>
        <w:tab w:val="center" w:pos="4153"/>
        <w:tab w:val="right" w:pos="8306"/>
      </w:tabs>
      <w:snapToGrid w:val="0"/>
      <w:jc w:val="left"/>
    </w:pPr>
    <w:rPr>
      <w:sz w:val="18"/>
      <w:szCs w:val="18"/>
    </w:rPr>
  </w:style>
  <w:style w:type="character" w:customStyle="1" w:styleId="Char0">
    <w:name w:val="页脚 Char"/>
    <w:basedOn w:val="a0"/>
    <w:link w:val="a4"/>
    <w:uiPriority w:val="99"/>
    <w:rsid w:val="00CD53E3"/>
    <w:rPr>
      <w:sz w:val="18"/>
      <w:szCs w:val="18"/>
    </w:rPr>
  </w:style>
  <w:style w:type="table" w:styleId="a5">
    <w:name w:val="Table Grid"/>
    <w:basedOn w:val="a1"/>
    <w:uiPriority w:val="59"/>
    <w:rsid w:val="00CD5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53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53E3"/>
    <w:rPr>
      <w:sz w:val="18"/>
      <w:szCs w:val="18"/>
    </w:rPr>
  </w:style>
  <w:style w:type="paragraph" w:styleId="a4">
    <w:name w:val="footer"/>
    <w:basedOn w:val="a"/>
    <w:link w:val="Char0"/>
    <w:uiPriority w:val="99"/>
    <w:unhideWhenUsed/>
    <w:rsid w:val="00CD53E3"/>
    <w:pPr>
      <w:tabs>
        <w:tab w:val="center" w:pos="4153"/>
        <w:tab w:val="right" w:pos="8306"/>
      </w:tabs>
      <w:snapToGrid w:val="0"/>
      <w:jc w:val="left"/>
    </w:pPr>
    <w:rPr>
      <w:sz w:val="18"/>
      <w:szCs w:val="18"/>
    </w:rPr>
  </w:style>
  <w:style w:type="character" w:customStyle="1" w:styleId="Char0">
    <w:name w:val="页脚 Char"/>
    <w:basedOn w:val="a0"/>
    <w:link w:val="a4"/>
    <w:uiPriority w:val="99"/>
    <w:rsid w:val="00CD53E3"/>
    <w:rPr>
      <w:sz w:val="18"/>
      <w:szCs w:val="18"/>
    </w:rPr>
  </w:style>
  <w:style w:type="table" w:styleId="a5">
    <w:name w:val="Table Grid"/>
    <w:basedOn w:val="a1"/>
    <w:uiPriority w:val="59"/>
    <w:rsid w:val="00CD5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2020-03-31T06:23:00Z</dcterms:created>
  <dcterms:modified xsi:type="dcterms:W3CDTF">2020-03-31T06:23:00Z</dcterms:modified>
</cp:coreProperties>
</file>